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3236EB" w:rsidRPr="00091714" w:rsidTr="000B1882">
        <w:tc>
          <w:tcPr>
            <w:tcW w:w="4643" w:type="dxa"/>
          </w:tcPr>
          <w:p w:rsidR="00F411A1" w:rsidRPr="00091714" w:rsidRDefault="00F411A1" w:rsidP="00F411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0917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Шиманська</w:t>
            </w:r>
            <w:proofErr w:type="spellEnd"/>
            <w:r w:rsidRPr="000917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Ольга Володимирівна</w:t>
            </w:r>
          </w:p>
          <w:p w:rsidR="00F411A1" w:rsidRPr="00091714" w:rsidRDefault="00F411A1" w:rsidP="00F41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кафедри стратегії підприємств,</w:t>
            </w:r>
            <w:r w:rsidR="00091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1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ДВНЗ «Київський національний економічний університет ім. Вадима Гетьмана», м. Київ, Україна</w:t>
            </w:r>
          </w:p>
          <w:p w:rsidR="00F411A1" w:rsidRPr="00091714" w:rsidRDefault="00F411A1" w:rsidP="00F41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1A1" w:rsidRPr="00091714" w:rsidRDefault="00F411A1" w:rsidP="00091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17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 ОЦІНКИ ДІЛОВОЇ РЕПУТАЦІЇ ПІДПРИЄМСТВА</w:t>
            </w:r>
          </w:p>
          <w:p w:rsidR="00F411A1" w:rsidRPr="00F411A1" w:rsidRDefault="00F411A1" w:rsidP="00F411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11A1" w:rsidRPr="000B1882" w:rsidRDefault="00F411A1" w:rsidP="00091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Доведено необхідність оцінки ділової репутації підприємства. Розглянуто та проаналізовано підходи щодо оцінки ділової репутації підприємства,  визначено переваги та недоліки запропонованих методів.</w:t>
            </w:r>
          </w:p>
        </w:tc>
        <w:tc>
          <w:tcPr>
            <w:tcW w:w="4644" w:type="dxa"/>
          </w:tcPr>
          <w:p w:rsidR="00F411A1" w:rsidRPr="00091714" w:rsidRDefault="003236EB" w:rsidP="00F411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917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Shymanska</w:t>
            </w:r>
            <w:proofErr w:type="spellEnd"/>
            <w:r w:rsidRPr="000917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Olga</w:t>
            </w:r>
          </w:p>
          <w:p w:rsidR="003236EB" w:rsidRPr="00091714" w:rsidRDefault="00937DD9" w:rsidP="00F411A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3236EB" w:rsidRPr="00091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ssistant of strategy enterprises’ department, Kyiv National University of Economics, Kyiv, Ukraine</w:t>
            </w:r>
          </w:p>
          <w:p w:rsidR="003236EB" w:rsidRPr="00091714" w:rsidRDefault="003236EB" w:rsidP="00F411A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36EB" w:rsidRPr="00091714" w:rsidRDefault="003236EB" w:rsidP="00F411A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1714" w:rsidRDefault="00091714" w:rsidP="00091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1714" w:rsidRDefault="00091714" w:rsidP="00091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36EB" w:rsidRPr="00091714" w:rsidRDefault="00831055" w:rsidP="00091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17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METHODS OF CORPORATE REPUTATION’  EVALUATION</w:t>
            </w:r>
          </w:p>
          <w:p w:rsidR="00831055" w:rsidRDefault="00831055" w:rsidP="00F411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1055" w:rsidRPr="00831055" w:rsidRDefault="00831055" w:rsidP="00091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necessity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corporate reputation’ evaluation was proved. The approaches of corporate reputation’ evaluation were examined and analyzed, the advantages and disadvantages of proposed methods were given</w:t>
            </w:r>
            <w:r w:rsidR="00937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411A1" w:rsidRDefault="00F411A1" w:rsidP="00221C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758" w:rsidRPr="00534B87" w:rsidRDefault="00434AAE" w:rsidP="00221C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4B87">
        <w:rPr>
          <w:rFonts w:ascii="Times New Roman" w:hAnsi="Times New Roman"/>
          <w:sz w:val="28"/>
          <w:szCs w:val="28"/>
          <w:lang w:val="uk-UA"/>
        </w:rPr>
        <w:t xml:space="preserve">Остання фінансова криза показала, що найкраще у світовій економіці виживають і розвиваються ті підприємства, які мають високій рівень ділової репутації. Вони здатні формувати навколо себе свою репутаційну аудиторію та бути надійними гарантами свого продукту та своєї діяльності. </w:t>
      </w:r>
      <w:r w:rsidR="00484758" w:rsidRPr="00534B87">
        <w:rPr>
          <w:rFonts w:ascii="Times New Roman" w:hAnsi="Times New Roman"/>
          <w:sz w:val="28"/>
          <w:szCs w:val="28"/>
          <w:lang w:val="uk-UA"/>
        </w:rPr>
        <w:t xml:space="preserve">І тому, щоб з </w:t>
      </w:r>
      <w:r w:rsidR="00534B87" w:rsidRPr="00534B87">
        <w:rPr>
          <w:rFonts w:ascii="Times New Roman" w:hAnsi="Times New Roman"/>
          <w:sz w:val="28"/>
          <w:szCs w:val="28"/>
          <w:lang w:val="uk-UA"/>
        </w:rPr>
        <w:t>плином</w:t>
      </w:r>
      <w:r w:rsidR="00484758" w:rsidRPr="00534B87">
        <w:rPr>
          <w:rFonts w:ascii="Times New Roman" w:hAnsi="Times New Roman"/>
          <w:sz w:val="28"/>
          <w:szCs w:val="28"/>
          <w:lang w:val="uk-UA"/>
        </w:rPr>
        <w:t xml:space="preserve"> часу підприємство не втратило цей важливий стратегічний актив,  його треба періодично оцінювати.</w:t>
      </w:r>
    </w:p>
    <w:p w:rsidR="00830197" w:rsidRDefault="00830197" w:rsidP="000917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Проаналізуємо можливі причини, при яких підприємству </w:t>
      </w:r>
      <w:r w:rsidR="00A4285E">
        <w:rPr>
          <w:rFonts w:ascii="Times New Roman" w:hAnsi="Times New Roman"/>
          <w:sz w:val="28"/>
          <w:szCs w:val="28"/>
          <w:lang w:val="uk-UA"/>
        </w:rPr>
        <w:t>варто</w:t>
      </w:r>
      <w:r>
        <w:rPr>
          <w:rFonts w:ascii="Times New Roman" w:hAnsi="Times New Roman"/>
          <w:sz w:val="28"/>
          <w:szCs w:val="28"/>
          <w:lang w:val="uk-UA"/>
        </w:rPr>
        <w:t xml:space="preserve"> оцінити свою ділову репутації. Їх може бути відразу декілька:</w:t>
      </w:r>
    </w:p>
    <w:p w:rsidR="00830197" w:rsidRDefault="00830197" w:rsidP="000917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Керівники підприємства захотіли об’єктивно  оцінити своє положення в галузі відносно  прямих та непрямих конкурентів;</w:t>
      </w:r>
    </w:p>
    <w:p w:rsidR="00830197" w:rsidRDefault="00830197" w:rsidP="008301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Компанія цікавиться думкою про неї у різних суб’єктів ринку та хоче свідомо вплинути на одну з цільових груп;</w:t>
      </w:r>
    </w:p>
    <w:p w:rsidR="00830197" w:rsidRPr="00D14F11" w:rsidRDefault="00830197" w:rsidP="008301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F11">
        <w:rPr>
          <w:rFonts w:ascii="Times New Roman" w:hAnsi="Times New Roman"/>
          <w:sz w:val="28"/>
          <w:szCs w:val="28"/>
          <w:lang w:val="uk-UA"/>
        </w:rPr>
        <w:t>Керівництво вирішило продати підприємство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D14F11">
        <w:rPr>
          <w:rFonts w:ascii="Times New Roman" w:hAnsi="Times New Roman"/>
          <w:sz w:val="28"/>
          <w:szCs w:val="28"/>
          <w:lang w:val="uk-UA"/>
        </w:rPr>
        <w:t xml:space="preserve"> оцінити на скільки її ринкова вартість перевищую фактичну або балансову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30197" w:rsidRPr="000B3B87" w:rsidRDefault="00830197" w:rsidP="00091714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Підприємство стало об’єктом «чорного піару», що безпосередньо відобразилось на погіршенні її репутації через зменшення доходу, відтік клієнтів, тобто треба оцінити </w:t>
      </w:r>
      <w:r w:rsidR="000574FC">
        <w:rPr>
          <w:rFonts w:ascii="Times New Roman" w:hAnsi="Times New Roman"/>
          <w:sz w:val="28"/>
          <w:szCs w:val="28"/>
          <w:lang w:val="uk-UA"/>
        </w:rPr>
        <w:t>реальний рівень її репутації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4AAE" w:rsidRPr="00534B87" w:rsidRDefault="00434AAE" w:rsidP="0009171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34B87">
        <w:rPr>
          <w:rFonts w:ascii="Times New Roman" w:hAnsi="Times New Roman"/>
          <w:sz w:val="28"/>
          <w:szCs w:val="28"/>
          <w:lang w:val="uk-UA"/>
        </w:rPr>
        <w:t xml:space="preserve">На даний час існує </w:t>
      </w:r>
      <w:r w:rsidR="00534B87">
        <w:rPr>
          <w:rFonts w:ascii="Times New Roman" w:hAnsi="Times New Roman"/>
          <w:sz w:val="28"/>
          <w:szCs w:val="28"/>
          <w:lang w:val="uk-UA"/>
        </w:rPr>
        <w:t>чимало</w:t>
      </w:r>
      <w:r w:rsidRPr="00534B87">
        <w:rPr>
          <w:rFonts w:ascii="Times New Roman" w:hAnsi="Times New Roman"/>
          <w:sz w:val="28"/>
          <w:szCs w:val="28"/>
          <w:lang w:val="uk-UA"/>
        </w:rPr>
        <w:t xml:space="preserve"> підходів до оцінки ділової репутації</w:t>
      </w:r>
      <w:r w:rsidR="00934641">
        <w:rPr>
          <w:rFonts w:ascii="Times New Roman" w:hAnsi="Times New Roman"/>
          <w:sz w:val="28"/>
          <w:szCs w:val="28"/>
          <w:lang w:val="uk-UA"/>
        </w:rPr>
        <w:t>, які умовно поділяються на два</w:t>
      </w:r>
      <w:r w:rsidRPr="00534B87">
        <w:rPr>
          <w:rFonts w:ascii="Times New Roman" w:hAnsi="Times New Roman"/>
          <w:sz w:val="28"/>
          <w:szCs w:val="28"/>
          <w:lang w:val="uk-UA"/>
        </w:rPr>
        <w:t xml:space="preserve"> типи: кількісні та якісні.Першу групу </w:t>
      </w:r>
      <w:r w:rsidRPr="00534B87">
        <w:rPr>
          <w:rFonts w:ascii="Times New Roman" w:hAnsi="Times New Roman"/>
          <w:sz w:val="28"/>
          <w:szCs w:val="28"/>
          <w:lang w:val="uk-UA"/>
        </w:rPr>
        <w:lastRenderedPageBreak/>
        <w:t xml:space="preserve">утворюють методи, в основу яких покладено вартісну оцінку </w:t>
      </w:r>
      <w:r w:rsidR="00934641">
        <w:rPr>
          <w:rFonts w:ascii="Times New Roman" w:hAnsi="Times New Roman"/>
          <w:sz w:val="28"/>
          <w:szCs w:val="28"/>
          <w:lang w:val="uk-UA"/>
        </w:rPr>
        <w:t>гудвілу (</w:t>
      </w:r>
      <w:r w:rsidR="004710DF" w:rsidRPr="00534B87">
        <w:rPr>
          <w:rFonts w:ascii="Times New Roman" w:hAnsi="Times New Roman"/>
          <w:sz w:val="28"/>
          <w:szCs w:val="28"/>
          <w:lang w:val="uk-UA"/>
        </w:rPr>
        <w:t>табл</w:t>
      </w:r>
      <w:r w:rsidR="00934641">
        <w:rPr>
          <w:rFonts w:ascii="Times New Roman" w:hAnsi="Times New Roman"/>
          <w:sz w:val="28"/>
          <w:szCs w:val="28"/>
          <w:lang w:val="uk-UA"/>
        </w:rPr>
        <w:t>.</w:t>
      </w:r>
      <w:r w:rsidR="004710DF" w:rsidRPr="00534B87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934641">
        <w:rPr>
          <w:rFonts w:ascii="Times New Roman" w:hAnsi="Times New Roman"/>
          <w:sz w:val="28"/>
          <w:szCs w:val="28"/>
          <w:lang w:val="uk-UA"/>
        </w:rPr>
        <w:t>)</w:t>
      </w:r>
      <w:r w:rsidR="004710DF" w:rsidRPr="00534B87">
        <w:rPr>
          <w:rFonts w:ascii="Times New Roman" w:hAnsi="Times New Roman"/>
          <w:sz w:val="28"/>
          <w:szCs w:val="28"/>
          <w:lang w:val="uk-UA"/>
        </w:rPr>
        <w:t xml:space="preserve"> [1]</w:t>
      </w:r>
      <w:r w:rsidR="00934641">
        <w:rPr>
          <w:rFonts w:ascii="Times New Roman" w:hAnsi="Times New Roman"/>
          <w:sz w:val="28"/>
          <w:szCs w:val="28"/>
          <w:lang w:val="uk-UA"/>
        </w:rPr>
        <w:t>.</w:t>
      </w:r>
    </w:p>
    <w:p w:rsidR="00434AAE" w:rsidRPr="00534B87" w:rsidRDefault="00934641" w:rsidP="00221C29">
      <w:pPr>
        <w:pStyle w:val="a4"/>
        <w:spacing w:before="0" w:beforeAutospacing="0" w:after="0" w:afterAutospacing="0"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p w:rsidR="00434AAE" w:rsidRPr="00534B87" w:rsidRDefault="00434AAE" w:rsidP="00221C29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34B87">
        <w:rPr>
          <w:sz w:val="28"/>
          <w:szCs w:val="28"/>
        </w:rPr>
        <w:t>Характеристика основних підходів до визначення вартості гудвіла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6568"/>
      </w:tblGrid>
      <w:tr w:rsidR="00434AAE" w:rsidRPr="000B1882" w:rsidTr="0050455C">
        <w:trPr>
          <w:tblHeader/>
        </w:trPr>
        <w:tc>
          <w:tcPr>
            <w:tcW w:w="2719" w:type="dxa"/>
          </w:tcPr>
          <w:p w:rsidR="00434AAE" w:rsidRPr="000B1882" w:rsidRDefault="00434AAE" w:rsidP="000B1882">
            <w:pPr>
              <w:pStyle w:val="a4"/>
              <w:spacing w:before="0" w:beforeAutospacing="0" w:after="0" w:afterAutospacing="0"/>
              <w:jc w:val="center"/>
            </w:pPr>
            <w:r w:rsidRPr="000B1882">
              <w:t>Підхід</w:t>
            </w:r>
          </w:p>
        </w:tc>
        <w:tc>
          <w:tcPr>
            <w:tcW w:w="6568" w:type="dxa"/>
          </w:tcPr>
          <w:p w:rsidR="00434AAE" w:rsidRPr="000B1882" w:rsidRDefault="00434AAE" w:rsidP="000B1882">
            <w:pPr>
              <w:pStyle w:val="a4"/>
              <w:spacing w:before="0" w:beforeAutospacing="0" w:after="0" w:afterAutospacing="0"/>
              <w:jc w:val="center"/>
            </w:pPr>
            <w:r w:rsidRPr="000B1882">
              <w:t>Характеристика</w:t>
            </w:r>
          </w:p>
        </w:tc>
      </w:tr>
      <w:tr w:rsidR="00434AAE" w:rsidRPr="00091714" w:rsidTr="0050455C">
        <w:tc>
          <w:tcPr>
            <w:tcW w:w="2719" w:type="dxa"/>
          </w:tcPr>
          <w:p w:rsidR="00434AAE" w:rsidRPr="000B1882" w:rsidRDefault="00434AAE" w:rsidP="000B1882">
            <w:pPr>
              <w:pStyle w:val="a4"/>
              <w:spacing w:before="0" w:beforeAutospacing="0" w:after="0" w:afterAutospacing="0"/>
            </w:pPr>
            <w:proofErr w:type="spellStart"/>
            <w:r w:rsidRPr="000B1882">
              <w:t>„Бухгалтерський”</w:t>
            </w:r>
            <w:proofErr w:type="spellEnd"/>
            <w:r w:rsidRPr="000B1882">
              <w:t xml:space="preserve"> метод розрахунку вартості гудвіла </w:t>
            </w:r>
          </w:p>
        </w:tc>
        <w:tc>
          <w:tcPr>
            <w:tcW w:w="6568" w:type="dxa"/>
          </w:tcPr>
          <w:p w:rsidR="00434AAE" w:rsidRPr="000B1882" w:rsidRDefault="00434AAE" w:rsidP="000B1882">
            <w:pPr>
              <w:pStyle w:val="a4"/>
              <w:spacing w:before="0" w:beforeAutospacing="0" w:after="0" w:afterAutospacing="0"/>
              <w:jc w:val="both"/>
            </w:pPr>
            <w:r w:rsidRPr="000B1882">
              <w:t>Вартість гудвіла оцінюється як різниця між ринковою вартістю фірми, розрахованою дохідним або порівняльним підходом, і ринковою вартістю її чистих активів.</w:t>
            </w:r>
          </w:p>
        </w:tc>
      </w:tr>
      <w:tr w:rsidR="00434AAE" w:rsidRPr="00091714" w:rsidTr="0050455C">
        <w:tc>
          <w:tcPr>
            <w:tcW w:w="2719" w:type="dxa"/>
          </w:tcPr>
          <w:p w:rsidR="00434AAE" w:rsidRPr="000B1882" w:rsidRDefault="00434AAE" w:rsidP="000B1882">
            <w:pPr>
              <w:pStyle w:val="a4"/>
              <w:spacing w:before="0" w:beforeAutospacing="0" w:after="0" w:afterAutospacing="0"/>
            </w:pPr>
            <w:r w:rsidRPr="000B1882">
              <w:t>Метод надлишкових прибутків</w:t>
            </w:r>
          </w:p>
        </w:tc>
        <w:tc>
          <w:tcPr>
            <w:tcW w:w="6568" w:type="dxa"/>
          </w:tcPr>
          <w:p w:rsidR="00434AAE" w:rsidRPr="000B1882" w:rsidRDefault="00434AAE" w:rsidP="000B1882">
            <w:pPr>
              <w:pStyle w:val="a4"/>
              <w:spacing w:before="0" w:beforeAutospacing="0" w:after="0" w:afterAutospacing="0"/>
              <w:jc w:val="both"/>
            </w:pPr>
            <w:r w:rsidRPr="000B1882">
              <w:t>Вважається, що підприємство, маючи не відображений в балансі нематеріальний актив (ділову репутацію), отримує додатковий прибуток від його використання. Даний прибуток шляхом множення його на коефіцієнт капіталізації виявляє безпосередньо вартість гудвіла.</w:t>
            </w:r>
          </w:p>
        </w:tc>
      </w:tr>
      <w:tr w:rsidR="00434AAE" w:rsidRPr="000B1882" w:rsidTr="0050455C">
        <w:tc>
          <w:tcPr>
            <w:tcW w:w="2719" w:type="dxa"/>
          </w:tcPr>
          <w:p w:rsidR="00434AAE" w:rsidRPr="000B1882" w:rsidRDefault="00434AAE" w:rsidP="000B1882">
            <w:pPr>
              <w:pStyle w:val="a4"/>
              <w:spacing w:before="0" w:beforeAutospacing="0" w:after="0" w:afterAutospacing="0"/>
            </w:pPr>
            <w:r w:rsidRPr="000B1882">
              <w:t xml:space="preserve">Методика </w:t>
            </w:r>
            <w:proofErr w:type="spellStart"/>
            <w:r w:rsidRPr="000B1882">
              <w:t>BrandFinance</w:t>
            </w:r>
            <w:proofErr w:type="spellEnd"/>
          </w:p>
        </w:tc>
        <w:tc>
          <w:tcPr>
            <w:tcW w:w="6568" w:type="dxa"/>
          </w:tcPr>
          <w:p w:rsidR="00434AAE" w:rsidRPr="000B1882" w:rsidRDefault="00434AAE" w:rsidP="000B1882">
            <w:pPr>
              <w:pStyle w:val="a4"/>
              <w:spacing w:before="0" w:beforeAutospacing="0" w:after="0" w:afterAutospacing="0"/>
              <w:jc w:val="both"/>
            </w:pPr>
            <w:r w:rsidRPr="000B1882">
              <w:t xml:space="preserve">Гудвіл оцінюється через дисконтування прогнозних і </w:t>
            </w:r>
            <w:proofErr w:type="spellStart"/>
            <w:r w:rsidRPr="000B1882">
              <w:t>післяпрогнозних</w:t>
            </w:r>
            <w:proofErr w:type="spellEnd"/>
            <w:r w:rsidRPr="000B1882">
              <w:t xml:space="preserve"> потоків прибутку, що генерується діловою репутацією. Прогнозування потоків прибутків компанії, що має значну ділову репутацію, здійснюється за допомогою спеціально розроблених фірмою </w:t>
            </w:r>
            <w:proofErr w:type="spellStart"/>
            <w:r w:rsidRPr="000B1882">
              <w:t>Interbrand</w:t>
            </w:r>
            <w:proofErr w:type="spellEnd"/>
            <w:r w:rsidRPr="000B1882">
              <w:t xml:space="preserve"> галузевих коефіцієнтів.</w:t>
            </w:r>
          </w:p>
        </w:tc>
      </w:tr>
      <w:tr w:rsidR="00434AAE" w:rsidRPr="00091714" w:rsidTr="0050455C">
        <w:tc>
          <w:tcPr>
            <w:tcW w:w="2719" w:type="dxa"/>
          </w:tcPr>
          <w:p w:rsidR="00434AAE" w:rsidRPr="000B1882" w:rsidRDefault="00434AAE" w:rsidP="000B1882">
            <w:pPr>
              <w:pStyle w:val="a4"/>
              <w:spacing w:before="0" w:beforeAutospacing="0" w:after="0" w:afterAutospacing="0"/>
            </w:pPr>
            <w:r w:rsidRPr="000B1882">
              <w:t>Метод оцінки гудвіла з використанням мультиплікатора М</w:t>
            </w:r>
          </w:p>
        </w:tc>
        <w:tc>
          <w:tcPr>
            <w:tcW w:w="6568" w:type="dxa"/>
          </w:tcPr>
          <w:p w:rsidR="00434AAE" w:rsidRPr="000B1882" w:rsidRDefault="00434AAE" w:rsidP="000B1882">
            <w:pPr>
              <w:pStyle w:val="a4"/>
              <w:spacing w:before="0" w:beforeAutospacing="0" w:after="0" w:afterAutospacing="0"/>
              <w:jc w:val="both"/>
            </w:pPr>
            <w:r w:rsidRPr="000B1882">
              <w:t>Ґрунтується на історичних результатах діяльності компанії. Мультиплікатор М приймає значення в діапазоні від 0 до 20 і розраховується рівнянням кривої S: у = - 0,900293*х</w:t>
            </w:r>
            <w:r w:rsidRPr="000B1882">
              <w:rPr>
                <w:vertAlign w:val="subscript"/>
              </w:rPr>
              <w:t>1</w:t>
            </w:r>
            <w:r w:rsidRPr="000B1882">
              <w:t xml:space="preserve"> + 55,1202*х</w:t>
            </w:r>
            <w:r w:rsidRPr="000B1882">
              <w:rPr>
                <w:vertAlign w:val="subscript"/>
              </w:rPr>
              <w:t>2</w:t>
            </w:r>
            <w:r w:rsidRPr="000B1882">
              <w:t xml:space="preserve"> - 11,0116*х</w:t>
            </w:r>
            <w:r w:rsidRPr="000B1882">
              <w:rPr>
                <w:vertAlign w:val="subscript"/>
              </w:rPr>
              <w:t>3</w:t>
            </w:r>
            <w:r w:rsidRPr="000B1882">
              <w:t xml:space="preserve"> - 392764*х</w:t>
            </w:r>
            <w:r w:rsidRPr="000B1882">
              <w:rPr>
                <w:vertAlign w:val="subscript"/>
              </w:rPr>
              <w:t>4</w:t>
            </w:r>
            <w:r w:rsidRPr="000B1882">
              <w:t xml:space="preserve"> + 160681*х</w:t>
            </w:r>
            <w:r w:rsidRPr="000B1882">
              <w:rPr>
                <w:vertAlign w:val="subscript"/>
              </w:rPr>
              <w:t>5</w:t>
            </w:r>
            <w:r w:rsidRPr="000B1882">
              <w:t xml:space="preserve"> , де Х являє собою значення силу товарного знаку (гудвіла), поділене на 100. </w:t>
            </w:r>
            <w:r w:rsidR="001C5BC2" w:rsidRPr="000B1882">
              <w:t>Шляхом подальших розрахунківу кінці о</w:t>
            </w:r>
            <w:r w:rsidRPr="000B1882">
              <w:t>трим</w:t>
            </w:r>
            <w:r w:rsidR="001C5BC2" w:rsidRPr="000B1882">
              <w:t>уємо</w:t>
            </w:r>
            <w:r w:rsidRPr="000B1882">
              <w:t xml:space="preserve"> зважений чистий прибуток від гудвіла, помножена на мультиплікатор М, і дає вартість ділової репутації.</w:t>
            </w:r>
          </w:p>
        </w:tc>
      </w:tr>
    </w:tbl>
    <w:p w:rsidR="00221C29" w:rsidRDefault="0050455C" w:rsidP="00221C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4B87">
        <w:rPr>
          <w:rFonts w:ascii="Times New Roman" w:hAnsi="Times New Roman"/>
          <w:sz w:val="28"/>
          <w:szCs w:val="28"/>
          <w:lang w:val="uk-UA"/>
        </w:rPr>
        <w:t>З вищенаведеного можна робити висновок про достатню розвиненість кількісних методів оцінки ділової репутації</w:t>
      </w:r>
      <w:r w:rsidR="00FA3A70" w:rsidRPr="00534B87">
        <w:rPr>
          <w:rFonts w:ascii="Times New Roman" w:hAnsi="Times New Roman"/>
          <w:sz w:val="28"/>
          <w:szCs w:val="28"/>
          <w:lang w:val="uk-UA"/>
        </w:rPr>
        <w:t>, але о</w:t>
      </w:r>
      <w:r w:rsidRPr="00534B87">
        <w:rPr>
          <w:rFonts w:ascii="Times New Roman" w:hAnsi="Times New Roman"/>
          <w:sz w:val="28"/>
          <w:szCs w:val="28"/>
          <w:lang w:val="uk-UA"/>
        </w:rPr>
        <w:t xml:space="preserve">скільки ділова репутація </w:t>
      </w:r>
      <w:r w:rsidR="00221C29">
        <w:rPr>
          <w:rFonts w:ascii="Times New Roman" w:hAnsi="Times New Roman"/>
          <w:sz w:val="28"/>
          <w:szCs w:val="28"/>
          <w:lang w:val="uk-UA"/>
        </w:rPr>
        <w:t xml:space="preserve">– поняття більш широке та ємне, ніж гудвіл, та має стратегічну цінність для підприємства, </w:t>
      </w:r>
      <w:r w:rsidRPr="00534B87">
        <w:rPr>
          <w:rFonts w:ascii="Times New Roman" w:hAnsi="Times New Roman"/>
          <w:sz w:val="28"/>
          <w:szCs w:val="28"/>
          <w:lang w:val="uk-UA"/>
        </w:rPr>
        <w:t>кількісні методи її оцінки мають обмежену сферу застосування.</w:t>
      </w:r>
    </w:p>
    <w:p w:rsidR="001C5BC2" w:rsidRDefault="00221C29" w:rsidP="00221C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50455C" w:rsidRPr="00534B87">
        <w:rPr>
          <w:rFonts w:ascii="Times New Roman" w:hAnsi="Times New Roman"/>
          <w:sz w:val="28"/>
          <w:szCs w:val="28"/>
          <w:lang w:val="uk-UA"/>
        </w:rPr>
        <w:t>ругу групу утворюють якісні методи дослідження, до яких відносять рейтинговий метод, метод соціологічних опитувань, рекомендаційний, експертний та статистичний методи</w:t>
      </w:r>
      <w:r w:rsidR="00604B8E" w:rsidRPr="00534B8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Узагальнюючи о</w:t>
      </w:r>
      <w:r>
        <w:rPr>
          <w:rFonts w:ascii="Times New Roman" w:hAnsi="Times New Roman"/>
          <w:sz w:val="28"/>
          <w:lang w:val="uk-UA"/>
        </w:rPr>
        <w:t xml:space="preserve">сновні відмітні характеристики якісних методів оцінки ділової репутації </w:t>
      </w:r>
      <w:r w:rsidRPr="00534B87">
        <w:rPr>
          <w:rFonts w:ascii="Times New Roman" w:hAnsi="Times New Roman"/>
          <w:sz w:val="28"/>
          <w:szCs w:val="28"/>
          <w:lang w:val="uk-UA"/>
        </w:rPr>
        <w:t>[2, 3]</w:t>
      </w:r>
      <w:r>
        <w:rPr>
          <w:rFonts w:ascii="Times New Roman" w:hAnsi="Times New Roman"/>
          <w:sz w:val="28"/>
          <w:szCs w:val="28"/>
          <w:lang w:val="uk-UA"/>
        </w:rPr>
        <w:t>, вважаємо за можливе виділити їх переваги та недоліки (табл. 2)</w:t>
      </w:r>
      <w:r w:rsidR="001C5BC2" w:rsidRPr="00534B87">
        <w:rPr>
          <w:rFonts w:ascii="Times New Roman" w:hAnsi="Times New Roman"/>
          <w:sz w:val="28"/>
          <w:lang w:val="uk-UA"/>
        </w:rPr>
        <w:t>.</w:t>
      </w:r>
    </w:p>
    <w:p w:rsidR="00221C29" w:rsidRDefault="00221C29" w:rsidP="00221C2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2</w:t>
      </w:r>
    </w:p>
    <w:p w:rsidR="00221C29" w:rsidRDefault="00221C29" w:rsidP="00221C29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якісних методів оцінки ділової репутації компанії</w:t>
      </w:r>
    </w:p>
    <w:tbl>
      <w:tblPr>
        <w:tblStyle w:val="a8"/>
        <w:tblW w:w="0" w:type="auto"/>
        <w:tblLook w:val="04A0"/>
      </w:tblPr>
      <w:tblGrid>
        <w:gridCol w:w="2112"/>
        <w:gridCol w:w="2663"/>
        <w:gridCol w:w="2461"/>
        <w:gridCol w:w="2051"/>
      </w:tblGrid>
      <w:tr w:rsidR="00ED4A5F" w:rsidRPr="00F411A1" w:rsidTr="00F411A1">
        <w:tc>
          <w:tcPr>
            <w:tcW w:w="0" w:type="auto"/>
          </w:tcPr>
          <w:p w:rsidR="00221C29" w:rsidRPr="00F411A1" w:rsidRDefault="00221C29" w:rsidP="000B188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1A1">
              <w:rPr>
                <w:rFonts w:ascii="Times New Roman" w:hAnsi="Times New Roman"/>
                <w:sz w:val="24"/>
                <w:szCs w:val="24"/>
                <w:lang w:val="uk-UA"/>
              </w:rPr>
              <w:t>Метод</w:t>
            </w:r>
          </w:p>
        </w:tc>
        <w:tc>
          <w:tcPr>
            <w:tcW w:w="0" w:type="auto"/>
          </w:tcPr>
          <w:p w:rsidR="00221C29" w:rsidRPr="00F411A1" w:rsidRDefault="00221C29" w:rsidP="000B188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1A1">
              <w:rPr>
                <w:rFonts w:ascii="Times New Roman" w:hAnsi="Times New Roman"/>
                <w:sz w:val="24"/>
                <w:szCs w:val="24"/>
                <w:lang w:val="uk-UA"/>
              </w:rPr>
              <w:t>Сутність</w:t>
            </w:r>
          </w:p>
        </w:tc>
        <w:tc>
          <w:tcPr>
            <w:tcW w:w="0" w:type="auto"/>
          </w:tcPr>
          <w:p w:rsidR="00221C29" w:rsidRPr="00F411A1" w:rsidRDefault="00221C29" w:rsidP="000B188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1A1">
              <w:rPr>
                <w:rFonts w:ascii="Times New Roman" w:hAnsi="Times New Roman"/>
                <w:sz w:val="24"/>
                <w:szCs w:val="24"/>
                <w:lang w:val="uk-UA"/>
              </w:rPr>
              <w:t>Переваги</w:t>
            </w:r>
          </w:p>
        </w:tc>
        <w:tc>
          <w:tcPr>
            <w:tcW w:w="0" w:type="auto"/>
          </w:tcPr>
          <w:p w:rsidR="00221C29" w:rsidRPr="00F411A1" w:rsidRDefault="00221C29" w:rsidP="000B188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1A1">
              <w:rPr>
                <w:rFonts w:ascii="Times New Roman" w:hAnsi="Times New Roman"/>
                <w:sz w:val="24"/>
                <w:szCs w:val="24"/>
                <w:lang w:val="uk-UA"/>
              </w:rPr>
              <w:t>Недоліки</w:t>
            </w:r>
          </w:p>
        </w:tc>
      </w:tr>
      <w:tr w:rsidR="00ED4A5F" w:rsidRPr="00F411A1" w:rsidTr="00F411A1">
        <w:tc>
          <w:tcPr>
            <w:tcW w:w="0" w:type="auto"/>
          </w:tcPr>
          <w:p w:rsidR="00221C29" w:rsidRPr="00F411A1" w:rsidRDefault="00221C2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1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 соціологічних опитувань</w:t>
            </w:r>
          </w:p>
        </w:tc>
        <w:tc>
          <w:tcPr>
            <w:tcW w:w="0" w:type="auto"/>
          </w:tcPr>
          <w:p w:rsidR="00221C29" w:rsidRPr="00F411A1" w:rsidRDefault="00221C2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1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найбільш простий метод оцінки ділової репутації, коли треба дізнатися </w:t>
            </w:r>
            <w:r w:rsidR="00F411A1">
              <w:rPr>
                <w:rFonts w:ascii="Times New Roman" w:hAnsi="Times New Roman"/>
                <w:sz w:val="24"/>
                <w:szCs w:val="24"/>
                <w:lang w:val="uk-UA"/>
              </w:rPr>
              <w:t>думку певної цільової аудиторії (</w:t>
            </w:r>
            <w:r w:rsidRPr="00F411A1">
              <w:rPr>
                <w:rFonts w:ascii="Times New Roman" w:hAnsi="Times New Roman"/>
                <w:sz w:val="24"/>
                <w:szCs w:val="24"/>
                <w:lang w:val="uk-UA"/>
              </w:rPr>
              <w:t>зазвичай споживачів чи співробітників компанії</w:t>
            </w:r>
            <w:r w:rsidR="00F411A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</w:tcPr>
          <w:p w:rsidR="00221C29" w:rsidRPr="00F411A1" w:rsidRDefault="00221C2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1A1">
              <w:rPr>
                <w:rFonts w:ascii="Times New Roman" w:hAnsi="Times New Roman"/>
                <w:sz w:val="24"/>
                <w:szCs w:val="24"/>
                <w:lang w:val="uk-UA"/>
              </w:rPr>
              <w:t>швидкість зібрання та обробки інформації</w:t>
            </w:r>
          </w:p>
        </w:tc>
        <w:tc>
          <w:tcPr>
            <w:tcW w:w="0" w:type="auto"/>
          </w:tcPr>
          <w:p w:rsidR="00221C29" w:rsidRPr="00F411A1" w:rsidRDefault="00221C2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1A1">
              <w:rPr>
                <w:rFonts w:ascii="Times New Roman" w:hAnsi="Times New Roman"/>
                <w:sz w:val="24"/>
                <w:szCs w:val="24"/>
                <w:lang w:val="uk-UA"/>
              </w:rPr>
              <w:t>однобічність оцінки, суб’єктивність думки</w:t>
            </w:r>
          </w:p>
        </w:tc>
      </w:tr>
      <w:tr w:rsidR="00ED4A5F" w:rsidRPr="00937DD9" w:rsidTr="00F411A1">
        <w:tc>
          <w:tcPr>
            <w:tcW w:w="0" w:type="auto"/>
          </w:tcPr>
          <w:p w:rsidR="00221C29" w:rsidRPr="00937DD9" w:rsidRDefault="00221C2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Рекомендаційний метод</w:t>
            </w:r>
          </w:p>
        </w:tc>
        <w:tc>
          <w:tcPr>
            <w:tcW w:w="0" w:type="auto"/>
          </w:tcPr>
          <w:p w:rsidR="00221C29" w:rsidRPr="00937DD9" w:rsidRDefault="00221C2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>аналітична довідка PR- компаній про ділову репутації підприємства</w:t>
            </w:r>
            <w:r w:rsidR="00F411A1" w:rsidRPr="00937DD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основи </w:t>
            </w:r>
            <w:r w:rsidR="00F411A1" w:rsidRPr="00937DD9">
              <w:rPr>
                <w:rFonts w:ascii="Times New Roman" w:hAnsi="Times New Roman"/>
                <w:sz w:val="24"/>
                <w:szCs w:val="24"/>
                <w:lang w:val="uk-UA"/>
              </w:rPr>
              <w:t>чого</w:t>
            </w: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розробляються певні рекомендації</w:t>
            </w:r>
          </w:p>
        </w:tc>
        <w:tc>
          <w:tcPr>
            <w:tcW w:w="0" w:type="auto"/>
          </w:tcPr>
          <w:p w:rsidR="00221C29" w:rsidRPr="00937DD9" w:rsidRDefault="00221C2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індивідуальний підхід, практичні поради</w:t>
            </w:r>
          </w:p>
        </w:tc>
        <w:tc>
          <w:tcPr>
            <w:tcW w:w="0" w:type="auto"/>
          </w:tcPr>
          <w:p w:rsidR="00221C29" w:rsidRPr="00937DD9" w:rsidRDefault="00F411A1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високі </w:t>
            </w:r>
            <w:r w:rsidR="00221C29" w:rsidRPr="00937DD9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залучення PR</w:t>
            </w: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21C29" w:rsidRPr="00937DD9">
              <w:rPr>
                <w:rFonts w:ascii="Times New Roman" w:hAnsi="Times New Roman"/>
                <w:sz w:val="24"/>
                <w:szCs w:val="24"/>
                <w:lang w:val="uk-UA"/>
              </w:rPr>
              <w:t>агентства</w:t>
            </w:r>
          </w:p>
        </w:tc>
      </w:tr>
      <w:tr w:rsidR="00ED4A5F" w:rsidRPr="00937DD9" w:rsidTr="00F411A1">
        <w:tc>
          <w:tcPr>
            <w:tcW w:w="0" w:type="auto"/>
          </w:tcPr>
          <w:p w:rsidR="00221C29" w:rsidRPr="00937DD9" w:rsidRDefault="00221C2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>Експертний метод</w:t>
            </w:r>
          </w:p>
        </w:tc>
        <w:tc>
          <w:tcPr>
            <w:tcW w:w="0" w:type="auto"/>
          </w:tcPr>
          <w:p w:rsidR="00221C29" w:rsidRPr="00937DD9" w:rsidRDefault="00221C2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>ділову репутацію оцінюють на основі зважених експертних оцінок</w:t>
            </w:r>
          </w:p>
        </w:tc>
        <w:tc>
          <w:tcPr>
            <w:tcW w:w="0" w:type="auto"/>
          </w:tcPr>
          <w:p w:rsidR="00221C29" w:rsidRPr="00937DD9" w:rsidRDefault="00830197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підхід, незалежна експертиза</w:t>
            </w:r>
          </w:p>
        </w:tc>
        <w:tc>
          <w:tcPr>
            <w:tcW w:w="0" w:type="auto"/>
          </w:tcPr>
          <w:p w:rsidR="00221C29" w:rsidRPr="00937DD9" w:rsidRDefault="00937DD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>упередженість оцінки</w:t>
            </w:r>
          </w:p>
        </w:tc>
      </w:tr>
      <w:tr w:rsidR="00ED4A5F" w:rsidRPr="00937DD9" w:rsidTr="00F411A1">
        <w:tc>
          <w:tcPr>
            <w:tcW w:w="0" w:type="auto"/>
          </w:tcPr>
          <w:p w:rsidR="00221C29" w:rsidRPr="00937DD9" w:rsidRDefault="00221C2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метод</w:t>
            </w:r>
          </w:p>
        </w:tc>
        <w:tc>
          <w:tcPr>
            <w:tcW w:w="0" w:type="auto"/>
          </w:tcPr>
          <w:p w:rsidR="00221C29" w:rsidRPr="00937DD9" w:rsidRDefault="00221C29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експертний та комплексний метод оцінки, який складається незалежними організаціями (здебільшого рейтинговими агенціями) </w:t>
            </w:r>
          </w:p>
        </w:tc>
        <w:tc>
          <w:tcPr>
            <w:tcW w:w="0" w:type="auto"/>
          </w:tcPr>
          <w:p w:rsidR="00221C29" w:rsidRPr="00937DD9" w:rsidRDefault="00F411A1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>багатопараметрична</w:t>
            </w:r>
            <w:proofErr w:type="spellEnd"/>
            <w:r w:rsidRPr="00937D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оцінка</w:t>
            </w:r>
            <w:r w:rsidR="00221C29" w:rsidRPr="00937DD9">
              <w:rPr>
                <w:rFonts w:ascii="Times New Roman" w:hAnsi="Times New Roman"/>
                <w:sz w:val="24"/>
                <w:szCs w:val="24"/>
                <w:lang w:val="uk-UA"/>
              </w:rPr>
              <w:t>, універсальність</w:t>
            </w:r>
          </w:p>
        </w:tc>
        <w:tc>
          <w:tcPr>
            <w:tcW w:w="0" w:type="auto"/>
          </w:tcPr>
          <w:p w:rsidR="00221C29" w:rsidRPr="00937DD9" w:rsidRDefault="00ED4A5F" w:rsidP="000B188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чутливість результатів вибірки щодо вибору ключової аудиторії</w:t>
            </w:r>
          </w:p>
        </w:tc>
      </w:tr>
    </w:tbl>
    <w:p w:rsidR="00083336" w:rsidRDefault="00221C29" w:rsidP="00F411A1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Необхідно визнати, що</w:t>
      </w:r>
      <w:r w:rsidR="00083336" w:rsidRPr="00534B87">
        <w:rPr>
          <w:rFonts w:ascii="Times New Roman" w:hAnsi="Times New Roman"/>
          <w:sz w:val="28"/>
          <w:lang w:val="uk-UA"/>
        </w:rPr>
        <w:t xml:space="preserve"> серед </w:t>
      </w:r>
      <w:r>
        <w:rPr>
          <w:rFonts w:ascii="Times New Roman" w:hAnsi="Times New Roman"/>
          <w:sz w:val="28"/>
          <w:lang w:val="uk-UA"/>
        </w:rPr>
        <w:t>зазначених методів</w:t>
      </w:r>
      <w:r w:rsidR="00083336" w:rsidRPr="00534B87">
        <w:rPr>
          <w:rFonts w:ascii="Times New Roman" w:hAnsi="Times New Roman"/>
          <w:sz w:val="28"/>
          <w:lang w:val="uk-UA"/>
        </w:rPr>
        <w:t xml:space="preserve"> немає єдиного </w:t>
      </w:r>
      <w:r w:rsidR="002B50DA" w:rsidRPr="00534B87">
        <w:rPr>
          <w:rFonts w:ascii="Times New Roman" w:hAnsi="Times New Roman"/>
          <w:sz w:val="28"/>
          <w:lang w:val="uk-UA"/>
        </w:rPr>
        <w:t xml:space="preserve">правильного та </w:t>
      </w:r>
      <w:r w:rsidR="00083336" w:rsidRPr="00534B87">
        <w:rPr>
          <w:rFonts w:ascii="Times New Roman" w:hAnsi="Times New Roman"/>
          <w:sz w:val="28"/>
          <w:lang w:val="uk-UA"/>
        </w:rPr>
        <w:t>універсального</w:t>
      </w:r>
      <w:r>
        <w:rPr>
          <w:rFonts w:ascii="Times New Roman" w:hAnsi="Times New Roman"/>
          <w:sz w:val="28"/>
          <w:lang w:val="uk-UA"/>
        </w:rPr>
        <w:t>.Для п</w:t>
      </w:r>
      <w:r w:rsidR="00083336" w:rsidRPr="00534B87">
        <w:rPr>
          <w:rFonts w:ascii="Times New Roman" w:hAnsi="Times New Roman"/>
          <w:sz w:val="28"/>
          <w:lang w:val="uk-UA"/>
        </w:rPr>
        <w:t>ідприємств</w:t>
      </w:r>
      <w:r>
        <w:rPr>
          <w:rFonts w:ascii="Times New Roman" w:hAnsi="Times New Roman"/>
          <w:sz w:val="28"/>
          <w:lang w:val="uk-UA"/>
        </w:rPr>
        <w:t>а</w:t>
      </w:r>
      <w:r w:rsidR="00083336" w:rsidRPr="00534B87">
        <w:rPr>
          <w:rFonts w:ascii="Times New Roman" w:hAnsi="Times New Roman"/>
          <w:sz w:val="28"/>
          <w:lang w:val="uk-UA"/>
        </w:rPr>
        <w:t xml:space="preserve">, яке хоче об’єктивно оцінити свою ділову репутації, варто </w:t>
      </w:r>
      <w:r w:rsidR="00F411A1">
        <w:rPr>
          <w:rFonts w:ascii="Times New Roman" w:hAnsi="Times New Roman"/>
          <w:sz w:val="28"/>
          <w:lang w:val="uk-UA"/>
        </w:rPr>
        <w:t>формувати систему</w:t>
      </w:r>
      <w:r w:rsidR="002B50DA" w:rsidRPr="00534B87">
        <w:rPr>
          <w:rFonts w:ascii="Times New Roman" w:hAnsi="Times New Roman"/>
          <w:sz w:val="28"/>
          <w:lang w:val="uk-UA"/>
        </w:rPr>
        <w:t xml:space="preserve"> кількісних якісних параметрів</w:t>
      </w:r>
      <w:r w:rsidR="00F411A1">
        <w:rPr>
          <w:rFonts w:ascii="Times New Roman" w:hAnsi="Times New Roman"/>
          <w:sz w:val="28"/>
          <w:lang w:val="uk-UA"/>
        </w:rPr>
        <w:t>, що підлягають оцінюванню із використанням як кількісних, так і якісних методів</w:t>
      </w:r>
      <w:r w:rsidR="002B50DA" w:rsidRPr="00534B87">
        <w:rPr>
          <w:rFonts w:ascii="Times New Roman" w:hAnsi="Times New Roman"/>
          <w:sz w:val="28"/>
          <w:lang w:val="uk-UA"/>
        </w:rPr>
        <w:t>.</w:t>
      </w:r>
    </w:p>
    <w:p w:rsidR="00221C29" w:rsidRPr="00534B87" w:rsidRDefault="00221C29" w:rsidP="00091714">
      <w:pPr>
        <w:spacing w:after="0" w:line="240" w:lineRule="auto"/>
        <w:ind w:firstLine="227"/>
        <w:jc w:val="both"/>
        <w:rPr>
          <w:rFonts w:ascii="Times New Roman" w:hAnsi="Times New Roman"/>
          <w:sz w:val="28"/>
          <w:lang w:val="uk-UA"/>
        </w:rPr>
      </w:pPr>
    </w:p>
    <w:p w:rsidR="000B1882" w:rsidRPr="00091714" w:rsidRDefault="00F411A1" w:rsidP="00091714">
      <w:pPr>
        <w:spacing w:after="0" w:line="360" w:lineRule="auto"/>
        <w:rPr>
          <w:rFonts w:ascii="Times New Roman" w:hAnsi="Times New Roman"/>
          <w:sz w:val="28"/>
          <w:lang w:val="uk-UA"/>
        </w:rPr>
      </w:pPr>
      <w:r w:rsidRPr="00091714">
        <w:rPr>
          <w:rFonts w:ascii="Times New Roman" w:hAnsi="Times New Roman"/>
          <w:b/>
          <w:sz w:val="28"/>
          <w:lang w:val="uk-UA"/>
        </w:rPr>
        <w:t>Література</w:t>
      </w:r>
      <w:r w:rsidR="00091714">
        <w:rPr>
          <w:rFonts w:ascii="Times New Roman" w:hAnsi="Times New Roman"/>
          <w:sz w:val="28"/>
          <w:lang w:val="uk-UA"/>
        </w:rPr>
        <w:t>:</w:t>
      </w:r>
    </w:p>
    <w:p w:rsidR="002E1F93" w:rsidRPr="00534B87" w:rsidRDefault="00604B8E" w:rsidP="00091714">
      <w:pPr>
        <w:pStyle w:val="a5"/>
        <w:numPr>
          <w:ilvl w:val="0"/>
          <w:numId w:val="5"/>
        </w:numPr>
        <w:tabs>
          <w:tab w:val="left" w:pos="567"/>
        </w:tabs>
        <w:spacing w:line="360" w:lineRule="auto"/>
        <w:ind w:left="20" w:hanging="20"/>
        <w:jc w:val="both"/>
        <w:rPr>
          <w:sz w:val="28"/>
          <w:szCs w:val="28"/>
          <w:lang w:val="uk-UA"/>
        </w:rPr>
      </w:pPr>
      <w:proofErr w:type="spellStart"/>
      <w:r w:rsidRPr="00534B87">
        <w:rPr>
          <w:sz w:val="28"/>
          <w:szCs w:val="28"/>
          <w:lang w:val="uk-UA"/>
        </w:rPr>
        <w:t>Зайчатникова</w:t>
      </w:r>
      <w:proofErr w:type="spellEnd"/>
      <w:r w:rsidRPr="00534B87">
        <w:rPr>
          <w:sz w:val="28"/>
          <w:szCs w:val="28"/>
          <w:lang w:val="uk-UA"/>
        </w:rPr>
        <w:t xml:space="preserve"> Е. </w:t>
      </w:r>
      <w:proofErr w:type="spellStart"/>
      <w:r w:rsidR="002E1F93" w:rsidRPr="00534B87">
        <w:rPr>
          <w:sz w:val="28"/>
          <w:szCs w:val="28"/>
          <w:lang w:val="uk-UA"/>
        </w:rPr>
        <w:t>Сколькостоитделоваярепутация</w:t>
      </w:r>
      <w:proofErr w:type="spellEnd"/>
      <w:r w:rsidR="002E1F93" w:rsidRPr="00534B87">
        <w:rPr>
          <w:sz w:val="28"/>
          <w:szCs w:val="28"/>
          <w:lang w:val="uk-UA"/>
        </w:rPr>
        <w:t xml:space="preserve">? // </w:t>
      </w:r>
      <w:proofErr w:type="spellStart"/>
      <w:r w:rsidR="002E1F93" w:rsidRPr="00534B87">
        <w:rPr>
          <w:sz w:val="28"/>
          <w:szCs w:val="28"/>
          <w:lang w:val="uk-UA"/>
        </w:rPr>
        <w:t>Русский</w:t>
      </w:r>
      <w:proofErr w:type="spellEnd"/>
      <w:r w:rsidR="002E1F93" w:rsidRPr="00534B87">
        <w:rPr>
          <w:sz w:val="28"/>
          <w:szCs w:val="28"/>
          <w:lang w:val="uk-UA"/>
        </w:rPr>
        <w:t xml:space="preserve"> Фокус. – 2002. - №24(61) от 8-14 </w:t>
      </w:r>
      <w:proofErr w:type="spellStart"/>
      <w:r w:rsidR="002E1F93" w:rsidRPr="00534B87">
        <w:rPr>
          <w:sz w:val="28"/>
          <w:szCs w:val="28"/>
          <w:lang w:val="uk-UA"/>
        </w:rPr>
        <w:t>июля</w:t>
      </w:r>
      <w:proofErr w:type="spellEnd"/>
      <w:r w:rsidR="002E1F93" w:rsidRPr="00534B87">
        <w:rPr>
          <w:sz w:val="28"/>
          <w:szCs w:val="28"/>
          <w:lang w:val="uk-UA"/>
        </w:rPr>
        <w:t>.</w:t>
      </w:r>
    </w:p>
    <w:p w:rsidR="002E1F93" w:rsidRPr="00534B87" w:rsidRDefault="002E1F93" w:rsidP="00091714">
      <w:pPr>
        <w:pStyle w:val="a5"/>
        <w:numPr>
          <w:ilvl w:val="0"/>
          <w:numId w:val="5"/>
        </w:numPr>
        <w:tabs>
          <w:tab w:val="left" w:pos="567"/>
        </w:tabs>
        <w:spacing w:line="360" w:lineRule="auto"/>
        <w:ind w:left="20" w:hanging="20"/>
        <w:jc w:val="both"/>
        <w:rPr>
          <w:sz w:val="28"/>
          <w:szCs w:val="28"/>
          <w:lang w:val="uk-UA"/>
        </w:rPr>
      </w:pPr>
      <w:proofErr w:type="spellStart"/>
      <w:r w:rsidRPr="00534B87">
        <w:rPr>
          <w:sz w:val="28"/>
          <w:szCs w:val="28"/>
          <w:lang w:val="uk-UA"/>
        </w:rPr>
        <w:t>Дмитрук</w:t>
      </w:r>
      <w:proofErr w:type="spellEnd"/>
      <w:r w:rsidRPr="00534B87">
        <w:rPr>
          <w:sz w:val="28"/>
          <w:szCs w:val="28"/>
          <w:lang w:val="uk-UA"/>
        </w:rPr>
        <w:t xml:space="preserve"> Є. В Методи оцінки репутації підприємства</w:t>
      </w:r>
      <w:r w:rsidRPr="00534B87">
        <w:rPr>
          <w:color w:val="000000"/>
          <w:sz w:val="28"/>
          <w:szCs w:val="28"/>
          <w:lang w:val="uk-UA"/>
        </w:rPr>
        <w:t xml:space="preserve"> //</w:t>
      </w:r>
      <w:r w:rsidRPr="00534B87">
        <w:rPr>
          <w:sz w:val="28"/>
          <w:szCs w:val="28"/>
          <w:lang w:val="uk-UA"/>
        </w:rPr>
        <w:t xml:space="preserve"> С</w:t>
      </w:r>
      <w:r w:rsidR="00091714">
        <w:rPr>
          <w:sz w:val="28"/>
          <w:szCs w:val="28"/>
          <w:lang w:val="uk-UA"/>
        </w:rPr>
        <w:t>айт Національної Бібліотеки ім.</w:t>
      </w:r>
      <w:r w:rsidRPr="00534B87">
        <w:rPr>
          <w:sz w:val="28"/>
          <w:szCs w:val="28"/>
          <w:lang w:val="uk-UA"/>
        </w:rPr>
        <w:t xml:space="preserve"> Вернадс</w:t>
      </w:r>
      <w:r w:rsidR="00091714">
        <w:rPr>
          <w:sz w:val="28"/>
          <w:szCs w:val="28"/>
          <w:lang w:val="uk-UA"/>
        </w:rPr>
        <w:t xml:space="preserve">ького [Електронний документ] // </w:t>
      </w:r>
      <w:r w:rsidRPr="00534B87">
        <w:rPr>
          <w:sz w:val="28"/>
          <w:szCs w:val="28"/>
          <w:lang w:val="uk-UA"/>
        </w:rPr>
        <w:t>Режим доступу</w:t>
      </w:r>
      <w:r w:rsidR="001F2B56" w:rsidRPr="00534B87">
        <w:rPr>
          <w:sz w:val="28"/>
          <w:szCs w:val="28"/>
          <w:lang w:val="uk-UA"/>
        </w:rPr>
        <w:t xml:space="preserve">: </w:t>
      </w:r>
      <w:hyperlink r:id="rId6" w:history="1">
        <w:r w:rsidR="00091714" w:rsidRPr="00EF4D7B">
          <w:rPr>
            <w:rStyle w:val="a7"/>
            <w:sz w:val="28"/>
            <w:szCs w:val="28"/>
            <w:lang w:val="uk-UA"/>
          </w:rPr>
          <w:t>http://www.nbuv.gov.ua/portal/Soc_Gum/Emp/2008_20/</w:t>
        </w:r>
        <w:r w:rsidR="00091714">
          <w:rPr>
            <w:rStyle w:val="a7"/>
            <w:sz w:val="28"/>
            <w:szCs w:val="28"/>
            <w:lang w:val="uk-UA"/>
          </w:rPr>
          <w:t xml:space="preserve"> </w:t>
        </w:r>
        <w:proofErr w:type="spellStart"/>
        <w:r w:rsidR="00091714" w:rsidRPr="00EF4D7B">
          <w:rPr>
            <w:rStyle w:val="a7"/>
            <w:sz w:val="28"/>
            <w:szCs w:val="28"/>
            <w:lang w:val="uk-UA"/>
          </w:rPr>
          <w:t>dmitruk.pdf</w:t>
        </w:r>
        <w:proofErr w:type="spellEnd"/>
      </w:hyperlink>
    </w:p>
    <w:p w:rsidR="003F3878" w:rsidRPr="00534B87" w:rsidRDefault="001F2B56" w:rsidP="00091714">
      <w:pPr>
        <w:pStyle w:val="a5"/>
        <w:numPr>
          <w:ilvl w:val="0"/>
          <w:numId w:val="5"/>
        </w:numPr>
        <w:tabs>
          <w:tab w:val="left" w:pos="567"/>
        </w:tabs>
        <w:spacing w:line="360" w:lineRule="auto"/>
        <w:ind w:left="20" w:hanging="20"/>
        <w:rPr>
          <w:sz w:val="28"/>
          <w:szCs w:val="28"/>
          <w:lang w:val="uk-UA"/>
        </w:rPr>
      </w:pPr>
      <w:proofErr w:type="spellStart"/>
      <w:r w:rsidRPr="00534B87">
        <w:rPr>
          <w:sz w:val="28"/>
          <w:szCs w:val="28"/>
          <w:lang w:val="uk-UA"/>
        </w:rPr>
        <w:lastRenderedPageBreak/>
        <w:t>Букша</w:t>
      </w:r>
      <w:proofErr w:type="spellEnd"/>
      <w:r w:rsidRPr="00534B87">
        <w:rPr>
          <w:sz w:val="28"/>
          <w:szCs w:val="28"/>
          <w:lang w:val="uk-UA"/>
        </w:rPr>
        <w:t xml:space="preserve"> К.С. </w:t>
      </w:r>
      <w:proofErr w:type="spellStart"/>
      <w:r w:rsidRPr="00534B87">
        <w:rPr>
          <w:sz w:val="28"/>
          <w:szCs w:val="28"/>
          <w:lang w:val="uk-UA"/>
        </w:rPr>
        <w:t>Управлениеделовойрепутацией</w:t>
      </w:r>
      <w:proofErr w:type="spellEnd"/>
      <w:r w:rsidRPr="00534B87">
        <w:rPr>
          <w:sz w:val="28"/>
          <w:szCs w:val="28"/>
          <w:lang w:val="uk-UA"/>
        </w:rPr>
        <w:t xml:space="preserve">. </w:t>
      </w:r>
      <w:proofErr w:type="spellStart"/>
      <w:r w:rsidRPr="00534B87">
        <w:rPr>
          <w:sz w:val="28"/>
          <w:szCs w:val="28"/>
          <w:lang w:val="uk-UA"/>
        </w:rPr>
        <w:t>Российская</w:t>
      </w:r>
      <w:proofErr w:type="spellEnd"/>
      <w:r w:rsidRPr="00534B87">
        <w:rPr>
          <w:sz w:val="28"/>
          <w:szCs w:val="28"/>
          <w:lang w:val="uk-UA"/>
        </w:rPr>
        <w:t xml:space="preserve"> и </w:t>
      </w:r>
      <w:proofErr w:type="spellStart"/>
      <w:r w:rsidRPr="00534B87">
        <w:rPr>
          <w:sz w:val="28"/>
          <w:szCs w:val="28"/>
          <w:lang w:val="uk-UA"/>
        </w:rPr>
        <w:t>зарубежная</w:t>
      </w:r>
      <w:proofErr w:type="spellEnd"/>
      <w:r w:rsidRPr="00534B87">
        <w:rPr>
          <w:sz w:val="28"/>
          <w:szCs w:val="28"/>
          <w:lang w:val="uk-UA"/>
        </w:rPr>
        <w:t xml:space="preserve"> PR-практика. – М.: </w:t>
      </w:r>
      <w:proofErr w:type="spellStart"/>
      <w:r w:rsidRPr="00534B87">
        <w:rPr>
          <w:sz w:val="28"/>
          <w:szCs w:val="28"/>
          <w:lang w:val="uk-UA"/>
        </w:rPr>
        <w:t>Изд-во„Вильямс”</w:t>
      </w:r>
      <w:proofErr w:type="spellEnd"/>
      <w:r w:rsidRPr="00534B87">
        <w:rPr>
          <w:sz w:val="28"/>
          <w:szCs w:val="28"/>
          <w:lang w:val="uk-UA"/>
        </w:rPr>
        <w:t>, 2007. – 144</w:t>
      </w:r>
      <w:r w:rsidR="00EE6F71" w:rsidRPr="00534B87">
        <w:rPr>
          <w:sz w:val="28"/>
          <w:szCs w:val="28"/>
          <w:lang w:val="uk-UA"/>
        </w:rPr>
        <w:t>с.</w:t>
      </w:r>
    </w:p>
    <w:sectPr w:rsidR="003F3878" w:rsidRPr="00534B87" w:rsidSect="003F38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2D8B"/>
    <w:multiLevelType w:val="hybridMultilevel"/>
    <w:tmpl w:val="EC3AFD2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A8739E1"/>
    <w:multiLevelType w:val="hybridMultilevel"/>
    <w:tmpl w:val="665C77E8"/>
    <w:lvl w:ilvl="0" w:tplc="A5F2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16C1"/>
    <w:multiLevelType w:val="hybridMultilevel"/>
    <w:tmpl w:val="437C4956"/>
    <w:lvl w:ilvl="0" w:tplc="01905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B313C"/>
    <w:multiLevelType w:val="hybridMultilevel"/>
    <w:tmpl w:val="75EC68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878"/>
    <w:rsid w:val="000574FC"/>
    <w:rsid w:val="00083336"/>
    <w:rsid w:val="00091714"/>
    <w:rsid w:val="000B1882"/>
    <w:rsid w:val="000E64A1"/>
    <w:rsid w:val="00181AB9"/>
    <w:rsid w:val="001C5BC2"/>
    <w:rsid w:val="001F2B56"/>
    <w:rsid w:val="00221C29"/>
    <w:rsid w:val="002B50DA"/>
    <w:rsid w:val="002E1F93"/>
    <w:rsid w:val="002E4C74"/>
    <w:rsid w:val="0030334A"/>
    <w:rsid w:val="003236EB"/>
    <w:rsid w:val="003F3878"/>
    <w:rsid w:val="00434AAE"/>
    <w:rsid w:val="004710DF"/>
    <w:rsid w:val="00484758"/>
    <w:rsid w:val="0050455C"/>
    <w:rsid w:val="00534B87"/>
    <w:rsid w:val="006036C7"/>
    <w:rsid w:val="00604B8E"/>
    <w:rsid w:val="006715F3"/>
    <w:rsid w:val="0079058E"/>
    <w:rsid w:val="00830197"/>
    <w:rsid w:val="00831055"/>
    <w:rsid w:val="00934641"/>
    <w:rsid w:val="00937DD9"/>
    <w:rsid w:val="00A4285E"/>
    <w:rsid w:val="00A46C25"/>
    <w:rsid w:val="00BD6E6F"/>
    <w:rsid w:val="00D177D8"/>
    <w:rsid w:val="00D94392"/>
    <w:rsid w:val="00E92D83"/>
    <w:rsid w:val="00ED4A5F"/>
    <w:rsid w:val="00EE6F71"/>
    <w:rsid w:val="00F411A1"/>
    <w:rsid w:val="00FA3A70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A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3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endnote text"/>
    <w:basedOn w:val="a"/>
    <w:link w:val="a6"/>
    <w:unhideWhenUsed/>
    <w:rsid w:val="002E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2E1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F2B5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D4A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A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3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endnote text"/>
    <w:basedOn w:val="a"/>
    <w:link w:val="a6"/>
    <w:unhideWhenUsed/>
    <w:rsid w:val="002E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2E1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F2B5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D4A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uv.gov.ua/portal/Soc_Gum/Emp/2008_20/dmitru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E6BA-A8B6-4F8F-A182-7A5A0837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Галинка</cp:lastModifiedBy>
  <cp:revision>3</cp:revision>
  <dcterms:created xsi:type="dcterms:W3CDTF">2012-09-13T18:50:00Z</dcterms:created>
  <dcterms:modified xsi:type="dcterms:W3CDTF">2012-09-14T11:22:00Z</dcterms:modified>
</cp:coreProperties>
</file>