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64" w:rsidRPr="00BB0D64" w:rsidRDefault="00BB0D64" w:rsidP="00BB0D6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B0D64">
        <w:rPr>
          <w:rFonts w:ascii="Times New Roman" w:hAnsi="Times New Roman" w:cs="Times New Roman"/>
          <w:b/>
          <w:spacing w:val="-2"/>
          <w:sz w:val="28"/>
          <w:szCs w:val="28"/>
        </w:rPr>
        <w:t>Список публікацій з 2011 року</w:t>
      </w:r>
    </w:p>
    <w:p w:rsidR="00BB0D64" w:rsidRDefault="00BB0D64" w:rsidP="00BB0D6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B0D64" w:rsidRPr="00F2756E" w:rsidRDefault="00BB0D64" w:rsidP="00BB0D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Лопух К. В. Чиказька економічна школа: історія розвитку та сучасний стан / К.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В.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Лопух // Вісник Хмельницького національного університету. – Хмельницький. – 2011. – № 6. – Т. 1. – С. 11-13. – 268 с. (0,3 друк.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арк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.).</w:t>
      </w:r>
    </w:p>
    <w:p w:rsidR="00BB0D64" w:rsidRPr="00F2756E" w:rsidRDefault="00BB0D64" w:rsidP="00BB0D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Лопух К. В. Кількісна теорія грошей М.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Фрідмена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: основні положення та особливості розвитку в сучасних умовах / К.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В.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Лопух // Бюлетень Міжнародного Нобелівського економічного форуму: Збірник наукових праць. – Дніпропетровськ. – 2012. – № 1 (5). – Т.2. – С. 183-189. (0,6 друк.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арк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.).</w:t>
      </w:r>
    </w:p>
    <w:p w:rsidR="00BB0D64" w:rsidRPr="00F2756E" w:rsidRDefault="00BB0D64" w:rsidP="00BB0D64">
      <w:pPr>
        <w:pStyle w:val="a3"/>
        <w:numPr>
          <w:ilvl w:val="0"/>
          <w:numId w:val="1"/>
        </w:numPr>
        <w:tabs>
          <w:tab w:val="left" w:pos="-1601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Лопух К. В. Новітні тенденції в еволюції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монетаризму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 другій половині ХХ — на початку ХХІ століття / К.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В.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Лопух // Історія народного господарства та економічної думки України: Збірник наукових праць. – К.: ДУ «Інститут економіки та прогнозування НАН України». – 2012. –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Вип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45. – С. 111-123. (0,8 друк.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арк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.).</w:t>
      </w:r>
    </w:p>
    <w:p w:rsidR="00BB0D64" w:rsidRPr="00421466" w:rsidRDefault="00BB0D64" w:rsidP="00BB0D64">
      <w:pPr>
        <w:pStyle w:val="a3"/>
        <w:numPr>
          <w:ilvl w:val="0"/>
          <w:numId w:val="1"/>
        </w:numPr>
        <w:tabs>
          <w:tab w:val="left" w:pos="-1601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Лопух К. В. Циклічність розвитку економіки в теоріях сучасного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монетаризму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/ К.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Лопух // Формування ринкової економіки: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. наук. пр. – К.: КНЕУ. – 2012. – № 28. – Ч. 1. – С. 7-16. (0,5 </w:t>
      </w:r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друк. </w:t>
      </w:r>
      <w:proofErr w:type="spellStart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арк</w:t>
      </w:r>
      <w:proofErr w:type="spellEnd"/>
      <w:r w:rsidRPr="00F2756E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B0D64" w:rsidRPr="00BB0D64" w:rsidRDefault="00BB0D64" w:rsidP="00BB0D64">
      <w:pPr>
        <w:pStyle w:val="a3"/>
        <w:numPr>
          <w:ilvl w:val="0"/>
          <w:numId w:val="1"/>
        </w:numPr>
        <w:tabs>
          <w:tab w:val="left" w:pos="-1601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32"/>
          <w:szCs w:val="28"/>
          <w:lang w:val="uk-UA"/>
        </w:rPr>
      </w:pPr>
      <w:r w:rsidRPr="00421466">
        <w:rPr>
          <w:rFonts w:ascii="Times New Roman" w:hAnsi="Times New Roman" w:cs="Times New Roman"/>
          <w:sz w:val="28"/>
          <w:szCs w:val="24"/>
          <w:lang w:val="uk-UA"/>
        </w:rPr>
        <w:t xml:space="preserve">Лопух К. В. Взаємозв’язок інфляції та безробіття: </w:t>
      </w:r>
      <w:proofErr w:type="spellStart"/>
      <w:r w:rsidRPr="00421466">
        <w:rPr>
          <w:rFonts w:ascii="Times New Roman" w:hAnsi="Times New Roman" w:cs="Times New Roman"/>
          <w:sz w:val="28"/>
          <w:szCs w:val="24"/>
          <w:lang w:val="uk-UA"/>
        </w:rPr>
        <w:t>монетаристський</w:t>
      </w:r>
      <w:proofErr w:type="spellEnd"/>
      <w:r w:rsidRPr="00421466">
        <w:rPr>
          <w:rFonts w:ascii="Times New Roman" w:hAnsi="Times New Roman" w:cs="Times New Roman"/>
          <w:sz w:val="28"/>
          <w:szCs w:val="24"/>
          <w:lang w:val="uk-UA"/>
        </w:rPr>
        <w:t xml:space="preserve"> підхід до аналізу / Електронне фахове видання «Ефективна економіка». — 2013. — № 9. — [Електронний ресурс]. — Режим доступу: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hyperlink r:id="rId5" w:history="1">
        <w:r w:rsidRPr="001F5DBB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http://www.economy.nayka.com.ua/?op=1&amp;z=2328</w:t>
        </w:r>
      </w:hyperlink>
      <w:r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BB0D64" w:rsidRPr="00F2756E" w:rsidRDefault="00BB0D64" w:rsidP="00BB0D64">
      <w:pPr>
        <w:pStyle w:val="a3"/>
        <w:numPr>
          <w:ilvl w:val="0"/>
          <w:numId w:val="1"/>
        </w:numPr>
        <w:tabs>
          <w:tab w:val="left" w:pos="-127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Лопух К. В. Історія економічного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неоконсерватизму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>: відродження старих цінностей у нових умовах / К.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>Лопух // Бізнес-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en-US"/>
        </w:rPr>
        <w:t>Ulrichsweb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Serials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(США),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(США), Російський індекс наукового цитування (Росія),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Copernicus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(Польща),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756E">
        <w:rPr>
          <w:rFonts w:ascii="Times New Roman" w:hAnsi="Times New Roman" w:cs="Times New Roman"/>
          <w:sz w:val="28"/>
          <w:szCs w:val="28"/>
        </w:rPr>
        <w:t>CiteFactor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(США),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en-US"/>
        </w:rPr>
        <w:t>getCITED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(США),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Bible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(Японія),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Соціонет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(Росія), Національна бібліотека України ім. </w:t>
      </w:r>
      <w:r w:rsidRPr="00F2756E">
        <w:rPr>
          <w:rFonts w:ascii="Times New Roman" w:hAnsi="Times New Roman" w:cs="Times New Roman"/>
          <w:sz w:val="28"/>
          <w:szCs w:val="28"/>
        </w:rPr>
        <w:t xml:space="preserve">В.І. </w:t>
      </w:r>
      <w:proofErr w:type="spellStart"/>
      <w:r w:rsidRPr="00F2756E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Pr="00F275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56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F2756E">
        <w:rPr>
          <w:rFonts w:ascii="Times New Roman" w:hAnsi="Times New Roman" w:cs="Times New Roman"/>
          <w:sz w:val="28"/>
          <w:szCs w:val="28"/>
        </w:rPr>
        <w:t>)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). – 2013. – № 3 (422). – С. 376-381. (0,6 друк.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BB0D64" w:rsidRPr="00F2756E" w:rsidRDefault="00BB0D64" w:rsidP="00BB0D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6E">
        <w:rPr>
          <w:rFonts w:ascii="Times New Roman" w:hAnsi="Times New Roman" w:cs="Times New Roman"/>
          <w:sz w:val="28"/>
          <w:szCs w:val="28"/>
          <w:lang w:val="uk-UA"/>
        </w:rPr>
        <w:t>Лопух К. В. Координація монетарних підходів у здійсненні стабілізаційної політики в країнах Європейського Союзу та Україні / К.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>Лопух // Економіст (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6E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F2756E">
        <w:rPr>
          <w:rFonts w:ascii="Times New Roman" w:hAnsi="Times New Roman" w:cs="Times New Roman"/>
          <w:sz w:val="28"/>
          <w:szCs w:val="28"/>
          <w:lang w:val="uk-UA"/>
        </w:rPr>
        <w:t xml:space="preserve"> (США)). – 2013. – № 9. – С. 376-381. (0,7 друк. </w:t>
      </w:r>
      <w:proofErr w:type="spellStart"/>
      <w:r w:rsidRPr="00F2756E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F2756E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BB0D64" w:rsidRPr="0004094E" w:rsidRDefault="00BB0D64" w:rsidP="00BB0D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94E">
        <w:rPr>
          <w:rFonts w:ascii="Times New Roman" w:hAnsi="Times New Roman" w:cs="Times New Roman"/>
          <w:sz w:val="28"/>
          <w:szCs w:val="28"/>
          <w:lang w:val="uk-UA"/>
        </w:rPr>
        <w:t xml:space="preserve">Лопух К.В. Гроші у господарській системі суспільства: сучасні теоретико-методологічні підходи до аналізу / </w:t>
      </w:r>
      <w:proofErr w:type="spellStart"/>
      <w:r w:rsidRPr="0004094E">
        <w:rPr>
          <w:rFonts w:ascii="Times New Roman" w:hAnsi="Times New Roman" w:cs="Times New Roman"/>
          <w:sz w:val="28"/>
          <w:szCs w:val="28"/>
          <w:lang w:val="uk-UA"/>
        </w:rPr>
        <w:t>К.В.Лопух</w:t>
      </w:r>
      <w:proofErr w:type="spellEnd"/>
      <w:r w:rsidRPr="0004094E"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народного господарства та економічної думки України: </w:t>
      </w:r>
      <w:proofErr w:type="spellStart"/>
      <w:r w:rsidRPr="0004094E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04094E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– 2014. – </w:t>
      </w:r>
      <w:proofErr w:type="spellStart"/>
      <w:r w:rsidRPr="0004094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4094E">
        <w:rPr>
          <w:rFonts w:ascii="Times New Roman" w:hAnsi="Times New Roman" w:cs="Times New Roman"/>
          <w:sz w:val="28"/>
          <w:szCs w:val="28"/>
          <w:lang w:val="uk-UA"/>
        </w:rPr>
        <w:t>. 47. – С. 249-261.</w:t>
      </w:r>
    </w:p>
    <w:p w:rsidR="00BB0D64" w:rsidRPr="00421466" w:rsidRDefault="00BB0D64" w:rsidP="00BB0D64">
      <w:pPr>
        <w:pStyle w:val="a3"/>
        <w:numPr>
          <w:ilvl w:val="0"/>
          <w:numId w:val="1"/>
        </w:numPr>
        <w:tabs>
          <w:tab w:val="left" w:pos="-1601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Лопух К.В. Новаторські ідеї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М.І.Туган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-Барановського у розвитку теорії грошей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К.В.Лопух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Український соціум. – 2014. – № 4 (51). – С. 122-129.</w:t>
      </w:r>
      <w:bookmarkStart w:id="0" w:name="_GoBack"/>
      <w:bookmarkEnd w:id="0"/>
    </w:p>
    <w:p w:rsidR="00201E43" w:rsidRDefault="00201E43"/>
    <w:sectPr w:rsidR="00201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AD1"/>
    <w:multiLevelType w:val="hybridMultilevel"/>
    <w:tmpl w:val="3DF8D8EC"/>
    <w:lvl w:ilvl="0" w:tplc="6902D6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64"/>
    <w:rsid w:val="00201E43"/>
    <w:rsid w:val="00B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E2C4-D272-4914-AEDC-DB733CE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64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BB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y.nayka.com.ua/?op=1&amp;z=2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</cp:revision>
  <dcterms:created xsi:type="dcterms:W3CDTF">2018-09-20T10:00:00Z</dcterms:created>
  <dcterms:modified xsi:type="dcterms:W3CDTF">2018-09-20T10:05:00Z</dcterms:modified>
</cp:coreProperties>
</file>